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393" w:rsidRPr="0026600E" w:rsidRDefault="00F07393" w:rsidP="00F07393">
      <w:pPr>
        <w:pStyle w:val="Iauiue"/>
        <w:suppressAutoHyphens/>
        <w:ind w:firstLine="720"/>
        <w:jc w:val="center"/>
        <w:rPr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 xml:space="preserve">2.11 </w:t>
      </w:r>
      <w:r w:rsidRPr="0026600E">
        <w:rPr>
          <w:b/>
          <w:bCs/>
          <w:iCs/>
          <w:color w:val="000000"/>
          <w:sz w:val="28"/>
          <w:szCs w:val="28"/>
        </w:rPr>
        <w:t xml:space="preserve">Кондиции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Кондиции на минеральные сырье являются синтезирующими показателями геолого-экономической оценки. Они представляют собой технико-экономические требования к качеству и количеству минерального сырья, его горно-геологическим, гидрогеологическим и другим природным условиям. Соблюдение этих требований должно обеспечить наиболее полное комплексное и безопасное использование недр на эколого-экономической основе. </w:t>
      </w:r>
    </w:p>
    <w:p w:rsidR="00F07393" w:rsidRPr="0026600E" w:rsidRDefault="00F07393" w:rsidP="00F07393">
      <w:pPr>
        <w:pStyle w:val="Iauiue"/>
        <w:suppressAutoHyphens/>
        <w:ind w:firstLine="720"/>
        <w:jc w:val="center"/>
        <w:rPr>
          <w:color w:val="000000"/>
          <w:sz w:val="28"/>
          <w:szCs w:val="28"/>
        </w:rPr>
      </w:pPr>
      <w:r w:rsidRPr="0026600E">
        <w:rPr>
          <w:bCs/>
          <w:i/>
          <w:iCs/>
          <w:color w:val="000000"/>
          <w:sz w:val="28"/>
          <w:szCs w:val="28"/>
        </w:rPr>
        <w:t xml:space="preserve">Виды кондиций, их назначение и условия разработки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Кондиции могут быть </w:t>
      </w:r>
      <w:r>
        <w:rPr>
          <w:i/>
          <w:iCs/>
          <w:color w:val="000000"/>
          <w:sz w:val="28"/>
          <w:szCs w:val="28"/>
        </w:rPr>
        <w:t xml:space="preserve">разведочными </w:t>
      </w:r>
      <w:r>
        <w:rPr>
          <w:color w:val="000000"/>
          <w:sz w:val="28"/>
          <w:szCs w:val="28"/>
        </w:rPr>
        <w:t xml:space="preserve">и </w:t>
      </w:r>
      <w:r>
        <w:rPr>
          <w:i/>
          <w:iCs/>
          <w:color w:val="000000"/>
          <w:sz w:val="28"/>
          <w:szCs w:val="28"/>
        </w:rPr>
        <w:t>эксплуатационными</w:t>
      </w:r>
      <w:r>
        <w:rPr>
          <w:color w:val="000000"/>
          <w:sz w:val="28"/>
          <w:szCs w:val="28"/>
        </w:rPr>
        <w:t xml:space="preserve">. Первые обусловлены стадийностью разведочного процесса. Они служат для оконтуривания и подсчета запасов полезных ископаемых и их промышленной оценки. Вторые связаны с эксплуатацией месторождения и предназначены для корректировки разведочных кондиций на основе реально сложившихся производственно-экономических условий и рыночной коньюктуры.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 w:rsidRPr="0026600E">
        <w:rPr>
          <w:bCs/>
          <w:i/>
          <w:color w:val="000000"/>
          <w:sz w:val="28"/>
          <w:szCs w:val="28"/>
        </w:rPr>
        <w:t>Разведочные кондиции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подразделяются на </w:t>
      </w:r>
      <w:r>
        <w:rPr>
          <w:i/>
          <w:iCs/>
          <w:color w:val="000000"/>
          <w:sz w:val="28"/>
          <w:szCs w:val="28"/>
        </w:rPr>
        <w:t>временные и постоянные</w:t>
      </w:r>
      <w:r>
        <w:rPr>
          <w:color w:val="000000"/>
          <w:sz w:val="28"/>
          <w:szCs w:val="28"/>
        </w:rPr>
        <w:t xml:space="preserve">. Временные разведочные кондиции разрабатываются по результатам либо оценочных работ, либо начальной стадии разведки, постоянные - по результатам завершенных разведочных работ.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Технико-экономическое обоснование (ТЭО) временных разведочных кондиций может составляться различными организациями недропользования по согласованию с Департаментом геологии и освоения минеральных ресурсов Министерства природных ресурсов и утверждается заинтересованными департаментами других министерств.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Основой кондиций являются запасы категорий С</w:t>
      </w:r>
      <w:r>
        <w:rPr>
          <w:color w:val="000000"/>
          <w:position w:val="-10"/>
          <w:sz w:val="28"/>
          <w:szCs w:val="28"/>
          <w:vertAlign w:val="subscript"/>
        </w:rPr>
        <w:t xml:space="preserve">1 </w:t>
      </w:r>
      <w:r>
        <w:rPr>
          <w:color w:val="000000"/>
          <w:sz w:val="28"/>
          <w:szCs w:val="28"/>
        </w:rPr>
        <w:t>и С</w:t>
      </w:r>
      <w:r>
        <w:rPr>
          <w:color w:val="000000"/>
          <w:position w:val="-1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 xml:space="preserve">. В составленном технико-экономическом докладе (ТЭД) или ТЭО наряду с кондиционными параметрами определяются: производственная мощность будущего предприятия, объем капитальных вложений, их удельные значения, ожидаемая себестоимость продукции и прибыль от ее реализации. На основе технико-экономических по-казателей с учетом рыночной коньюктуры дается обоснование целесообразно-сти инвестирования на объекте дальнейших разведочных работ. Соотношение по категориям устанавливаются недропользователем с учетом геологических особенностей месторождения, условий финансирования и строительства горнодобывающего предприятия и принятого предпринимательского риска капиталовложений. </w:t>
      </w:r>
    </w:p>
    <w:p w:rsidR="00F07393" w:rsidRDefault="00F07393" w:rsidP="00F07393">
      <w:pPr>
        <w:pStyle w:val="Default"/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ТЭО постоянных разведочных кондиций освоения месторождения, материалы подсчета запасов и результаты геолого-экономической оценки подлежат государственной геологической, экономической и экологической экспертизе.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Эксплуатационные кондиции </w:t>
      </w:r>
      <w:r>
        <w:rPr>
          <w:color w:val="000000"/>
          <w:sz w:val="28"/>
          <w:szCs w:val="28"/>
        </w:rPr>
        <w:t xml:space="preserve">разрабатываются недропользователем для обособленных участков продуктивных залежей и тел с целью приведения параметров разведочных кондиций к горно-геологическим условиям и реальным технико-экономическим показателям их эксплуатации.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Поскольку ТЭО таких кондиций чаще всего распространяются на подготовленные, нарезанные и готовые к выемке запасы, но разрабатывается на ограниченный срок, связанный с их отработкой. </w:t>
      </w:r>
    </w:p>
    <w:p w:rsidR="00F07393" w:rsidRDefault="00F07393" w:rsidP="00F07393">
      <w:pPr>
        <w:pStyle w:val="Default"/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расчете геолого-экономических параметров (минимального промышленного и бортового содержаний) эксплуатационных кондиций следует учитывать результаты опробования как разведочных выработок и скважин, так и горно-подготовительных, нарезных выработок, очистных забоев и взрывных скважин.</w:t>
      </w:r>
    </w:p>
    <w:p w:rsidR="00F07393" w:rsidRPr="0026600E" w:rsidRDefault="00F07393" w:rsidP="00F07393">
      <w:pPr>
        <w:pStyle w:val="Iauiue"/>
        <w:suppressAutoHyphens/>
        <w:ind w:firstLine="720"/>
        <w:jc w:val="both"/>
        <w:rPr>
          <w:i/>
          <w:color w:val="000000"/>
          <w:sz w:val="28"/>
          <w:szCs w:val="28"/>
        </w:rPr>
      </w:pPr>
      <w:r w:rsidRPr="0026600E">
        <w:rPr>
          <w:bCs/>
          <w:i/>
          <w:iCs/>
          <w:color w:val="000000"/>
          <w:sz w:val="28"/>
          <w:szCs w:val="28"/>
        </w:rPr>
        <w:t xml:space="preserve">Основные параметры кондиций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Среди параметров разведочных кондиций для подсчета балансовых запасов металлов и нерудного сырья выделяют группу универсальных. Эта группа включает: минимальное промышленное содержание полезного компонента, бортовое содержание полезных компонентов в пробе, минимальные мощности тел полезных ископаемых, максимально допустимую мощность прослоев пустых пород или некондиционных руд.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Синтезирующим экономическим параметром из этой группы служит минимальное промышленное содержание полезного компонента (или приведенное к содержанию условного компонента) С</w:t>
      </w:r>
      <w:r>
        <w:rPr>
          <w:color w:val="000000"/>
          <w:position w:val="-10"/>
          <w:sz w:val="28"/>
          <w:szCs w:val="28"/>
          <w:vertAlign w:val="subscript"/>
        </w:rPr>
        <w:t>м</w:t>
      </w:r>
      <w:r>
        <w:rPr>
          <w:color w:val="000000"/>
          <w:sz w:val="28"/>
          <w:szCs w:val="28"/>
        </w:rPr>
        <w:t>. Запасы с таким содержанием имеют извлекаемую промышленную ценность Ц</w:t>
      </w:r>
      <w:r>
        <w:rPr>
          <w:color w:val="000000"/>
          <w:position w:val="-10"/>
          <w:sz w:val="28"/>
          <w:szCs w:val="28"/>
          <w:vertAlign w:val="subscript"/>
        </w:rPr>
        <w:t>пр</w:t>
      </w:r>
      <w:r>
        <w:rPr>
          <w:color w:val="000000"/>
          <w:sz w:val="28"/>
          <w:szCs w:val="28"/>
        </w:rPr>
        <w:t>, зависящую от оптовой цены за единицу полезного компонента в товарной продукции Ц, единого (сквозного) коэффициента его извлечения при добыче, обогащении и металлургическом пределе К</w:t>
      </w:r>
      <w:r>
        <w:rPr>
          <w:color w:val="000000"/>
          <w:position w:val="-10"/>
          <w:sz w:val="28"/>
          <w:szCs w:val="28"/>
          <w:vertAlign w:val="subscript"/>
        </w:rPr>
        <w:t xml:space="preserve">и </w:t>
      </w:r>
      <w:r>
        <w:rPr>
          <w:color w:val="000000"/>
          <w:sz w:val="28"/>
          <w:szCs w:val="28"/>
        </w:rPr>
        <w:t>и коэффициента разубоживания К</w:t>
      </w:r>
      <w:r>
        <w:rPr>
          <w:color w:val="000000"/>
          <w:position w:val="-10"/>
          <w:sz w:val="28"/>
          <w:szCs w:val="28"/>
          <w:vertAlign w:val="subscript"/>
        </w:rPr>
        <w:t>р</w:t>
      </w:r>
      <w:r>
        <w:rPr>
          <w:color w:val="000000"/>
          <w:sz w:val="28"/>
          <w:szCs w:val="28"/>
        </w:rPr>
        <w:t xml:space="preserve">. Таким образом </w:t>
      </w:r>
    </w:p>
    <w:p w:rsidR="00F07393" w:rsidRDefault="00F07393" w:rsidP="00F07393">
      <w:pPr>
        <w:pStyle w:val="Iauiue"/>
        <w:suppressAutoHyphens/>
        <w:ind w:firstLine="7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</w:t>
      </w:r>
      <w:r>
        <w:rPr>
          <w:color w:val="000000"/>
          <w:position w:val="-10"/>
          <w:sz w:val="28"/>
          <w:szCs w:val="28"/>
          <w:vertAlign w:val="subscript"/>
        </w:rPr>
        <w:t>пр</w:t>
      </w:r>
      <w:r>
        <w:rPr>
          <w:color w:val="000000"/>
          <w:sz w:val="28"/>
          <w:szCs w:val="28"/>
        </w:rPr>
        <w:t>= С</w:t>
      </w:r>
      <w:r>
        <w:rPr>
          <w:color w:val="000000"/>
          <w:position w:val="-10"/>
          <w:sz w:val="28"/>
          <w:szCs w:val="28"/>
          <w:vertAlign w:val="subscript"/>
        </w:rPr>
        <w:t>м</w:t>
      </w:r>
      <w:r>
        <w:rPr>
          <w:color w:val="000000"/>
          <w:sz w:val="28"/>
          <w:szCs w:val="28"/>
        </w:rPr>
        <w:t>ЦК</w:t>
      </w:r>
      <w:r>
        <w:rPr>
          <w:color w:val="000000"/>
          <w:position w:val="-10"/>
          <w:sz w:val="28"/>
          <w:szCs w:val="28"/>
          <w:vertAlign w:val="subscript"/>
        </w:rPr>
        <w:t xml:space="preserve">и </w:t>
      </w:r>
      <w:r>
        <w:rPr>
          <w:color w:val="000000"/>
          <w:sz w:val="28"/>
          <w:szCs w:val="28"/>
        </w:rPr>
        <w:t>(1-К</w:t>
      </w:r>
      <w:r>
        <w:rPr>
          <w:color w:val="000000"/>
          <w:position w:val="-10"/>
          <w:sz w:val="28"/>
          <w:szCs w:val="28"/>
          <w:vertAlign w:val="subscript"/>
        </w:rPr>
        <w:t>р</w:t>
      </w:r>
      <w:r>
        <w:rPr>
          <w:color w:val="000000"/>
          <w:sz w:val="28"/>
          <w:szCs w:val="28"/>
        </w:rPr>
        <w:t>)/100</w:t>
      </w:r>
    </w:p>
    <w:p w:rsidR="00F07393" w:rsidRPr="0026600E" w:rsidRDefault="00F07393" w:rsidP="00F07393">
      <w:pPr>
        <w:pStyle w:val="Default"/>
        <w:suppressAutoHyphens/>
        <w:ind w:firstLine="720"/>
      </w:pP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Величина промышленной ценности, заключенная в 1т руды, должна обеспечить полное возмещение эксплуатационных расходов Р на ее добычу Р</w:t>
      </w:r>
      <w:r>
        <w:rPr>
          <w:color w:val="000000"/>
          <w:position w:val="-10"/>
          <w:sz w:val="28"/>
          <w:szCs w:val="28"/>
          <w:vertAlign w:val="subscript"/>
        </w:rPr>
        <w:t xml:space="preserve">д </w:t>
      </w:r>
      <w:r>
        <w:rPr>
          <w:color w:val="000000"/>
          <w:sz w:val="28"/>
          <w:szCs w:val="28"/>
        </w:rPr>
        <w:t>и переработку Р</w:t>
      </w:r>
      <w:r>
        <w:rPr>
          <w:color w:val="000000"/>
          <w:position w:val="-10"/>
          <w:sz w:val="28"/>
          <w:szCs w:val="28"/>
          <w:vertAlign w:val="subscript"/>
        </w:rPr>
        <w:t xml:space="preserve">п </w:t>
      </w:r>
      <w:r>
        <w:rPr>
          <w:color w:val="000000"/>
          <w:sz w:val="28"/>
          <w:szCs w:val="28"/>
        </w:rPr>
        <w:t>при нулевой рентабельности, а также погашение затрат на геологоразведочные работы, т.е Ц</w:t>
      </w:r>
      <w:r>
        <w:rPr>
          <w:color w:val="000000"/>
          <w:position w:val="-10"/>
          <w:sz w:val="28"/>
          <w:szCs w:val="28"/>
          <w:vertAlign w:val="subscript"/>
        </w:rPr>
        <w:t>пр</w:t>
      </w:r>
      <w:r>
        <w:rPr>
          <w:color w:val="000000"/>
          <w:sz w:val="28"/>
          <w:szCs w:val="28"/>
        </w:rPr>
        <w:t>&gt;Р. Заменив в формуле (1) Ц</w:t>
      </w:r>
      <w:r>
        <w:rPr>
          <w:color w:val="000000"/>
          <w:position w:val="-10"/>
          <w:sz w:val="28"/>
          <w:szCs w:val="28"/>
          <w:vertAlign w:val="subscript"/>
        </w:rPr>
        <w:t xml:space="preserve">пр </w:t>
      </w:r>
      <w:r>
        <w:rPr>
          <w:color w:val="000000"/>
          <w:sz w:val="28"/>
          <w:szCs w:val="28"/>
        </w:rPr>
        <w:t xml:space="preserve">на Р и выполнив преобразования, получим </w:t>
      </w:r>
    </w:p>
    <w:p w:rsidR="00F07393" w:rsidRPr="0026600E" w:rsidRDefault="00F07393" w:rsidP="00F07393">
      <w:pPr>
        <w:pStyle w:val="Default"/>
        <w:suppressAutoHyphens/>
        <w:ind w:firstLine="720"/>
      </w:pPr>
    </w:p>
    <w:p w:rsidR="00F07393" w:rsidRDefault="00F07393" w:rsidP="00F07393">
      <w:pPr>
        <w:pStyle w:val="Iauiue"/>
        <w:suppressAutoHyphens/>
        <w:ind w:firstLine="7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>
        <w:rPr>
          <w:color w:val="000000"/>
          <w:position w:val="-10"/>
          <w:sz w:val="28"/>
          <w:szCs w:val="28"/>
          <w:vertAlign w:val="subscript"/>
        </w:rPr>
        <w:t>м</w:t>
      </w:r>
      <w:r>
        <w:rPr>
          <w:color w:val="000000"/>
          <w:sz w:val="28"/>
          <w:szCs w:val="28"/>
        </w:rPr>
        <w:t>= Р/ ЦК</w:t>
      </w:r>
      <w:r>
        <w:rPr>
          <w:color w:val="000000"/>
          <w:position w:val="-10"/>
          <w:sz w:val="28"/>
          <w:szCs w:val="28"/>
          <w:vertAlign w:val="subscript"/>
        </w:rPr>
        <w:t>и</w:t>
      </w:r>
      <w:r>
        <w:rPr>
          <w:color w:val="000000"/>
          <w:sz w:val="28"/>
          <w:szCs w:val="28"/>
        </w:rPr>
        <w:t>(1-К</w:t>
      </w:r>
      <w:r>
        <w:rPr>
          <w:color w:val="000000"/>
          <w:position w:val="-10"/>
          <w:sz w:val="28"/>
          <w:szCs w:val="28"/>
          <w:vertAlign w:val="subscript"/>
        </w:rPr>
        <w:t>р</w:t>
      </w:r>
      <w:r>
        <w:rPr>
          <w:color w:val="000000"/>
          <w:sz w:val="28"/>
          <w:szCs w:val="28"/>
        </w:rPr>
        <w:t>) ·100%</w:t>
      </w:r>
    </w:p>
    <w:p w:rsidR="00F07393" w:rsidRPr="0026600E" w:rsidRDefault="00F07393" w:rsidP="00F07393">
      <w:pPr>
        <w:pStyle w:val="Default"/>
        <w:suppressAutoHyphens/>
        <w:ind w:firstLine="720"/>
      </w:pP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полиметаллических руд рассчитывают С</w:t>
      </w:r>
      <w:r>
        <w:rPr>
          <w:color w:val="000000"/>
          <w:position w:val="-10"/>
          <w:sz w:val="28"/>
          <w:szCs w:val="28"/>
          <w:vertAlign w:val="subscript"/>
        </w:rPr>
        <w:t xml:space="preserve">м </w:t>
      </w:r>
      <w:r>
        <w:rPr>
          <w:color w:val="000000"/>
          <w:sz w:val="28"/>
          <w:szCs w:val="28"/>
        </w:rPr>
        <w:t xml:space="preserve">условного полезного ископаемого компонента, используя соответствующие переводные коэффициенты.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Обычно С</w:t>
      </w:r>
      <w:r>
        <w:rPr>
          <w:color w:val="000000"/>
          <w:position w:val="-10"/>
          <w:sz w:val="28"/>
          <w:szCs w:val="28"/>
          <w:vertAlign w:val="subscript"/>
        </w:rPr>
        <w:t xml:space="preserve">м </w:t>
      </w:r>
      <w:r>
        <w:rPr>
          <w:color w:val="000000"/>
          <w:sz w:val="28"/>
          <w:szCs w:val="28"/>
        </w:rPr>
        <w:t>устанавливают применительно к подсчетному блоку. Для месторождений дефицитных видов минерального сырья, характеризующихся высокой дисперсией содержаний полезных компонентов, допускается использование величины С</w:t>
      </w:r>
      <w:r>
        <w:rPr>
          <w:color w:val="000000"/>
          <w:position w:val="-10"/>
          <w:sz w:val="28"/>
          <w:szCs w:val="28"/>
          <w:vertAlign w:val="subscript"/>
        </w:rPr>
        <w:t xml:space="preserve">м </w:t>
      </w:r>
      <w:r>
        <w:rPr>
          <w:color w:val="000000"/>
          <w:sz w:val="28"/>
          <w:szCs w:val="28"/>
        </w:rPr>
        <w:t xml:space="preserve">для группы блоков или в целом по месторождению. В единичных блоках минимальное содержание полезного компонента может быть даже меньше минимального промышленного </w:t>
      </w:r>
      <w:r>
        <w:rPr>
          <w:color w:val="000000"/>
          <w:sz w:val="28"/>
          <w:szCs w:val="28"/>
        </w:rPr>
        <w:lastRenderedPageBreak/>
        <w:t xml:space="preserve">содержания. Такие отклонения возможны в случае несущественного снижения экономических показателей по месторождению в целом.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 w:rsidRPr="0026600E">
        <w:rPr>
          <w:bCs/>
          <w:i/>
          <w:color w:val="000000"/>
          <w:sz w:val="28"/>
          <w:szCs w:val="28"/>
        </w:rPr>
        <w:t>Минимальное промышленное содержание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служит не только для выделения балансовых запасов. Его величину используют и для их оконтуривания по простиранию (длине) и на глубину (по ширине). При высокой дискретности оруденения или нахождения месторождения в трудных географо-экономических условиях для оконтуривания запасов используют величину минимального содержания полезного компонента по пересечению рудного тела выработкой. Эта величина меньше минимального промышленного содержания. Ее применение позволяет сохранить целостность рудных тел с балансовыми запасами или избежать неоправданные потери в краевых частях подсчетных блоков, где содержание полезных компонентов несколько ниже минимального промышленного.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 w:rsidRPr="0026600E">
        <w:rPr>
          <w:bCs/>
          <w:i/>
          <w:color w:val="000000"/>
          <w:sz w:val="28"/>
          <w:szCs w:val="28"/>
        </w:rPr>
        <w:t>Бортовое содержание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полезного компонента (или условного компонента) в пробе наименьшее содержание в крайних пробах, оконтуривающих рудное тело по его мощности. Оно определяется методом повариантных технико-экономических расчетов во взаимосвязи с минимальным промышленным содержанием. Для выбора наилучшего (оптимального) варианта рекомендуется принимать не менее трех вариантов. Разность в значениях смежных вариантов дает величину ''шага'', которая также должна быть оптимальной. Малые значения ''шага'' принимаются на месторождениях с постепенным затуханием рудной минерализации при переходе руды во вмещающие породы. В этом случае значения бортового и минимального промышленного содержаний могут настолько сблизиться, что надобность в одном из этих показателей отпадает. Не требуется бортовое содержание для оконтуривания рудных тел с четкими геологическими границами (контактами). Обычно это рудные жилы кварцевого, кварц-карбонатного, флюоритового, баритового и другого состава, пегматитовые тела, пласты каменного угля, каменной и калийной солей и т.п.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Условия оконтуривания рудных тел в геологических границах, должны содержать описание критериев, по которым устанавливаются геологические границы полезного ископаемого.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 w:rsidRPr="0026600E">
        <w:rPr>
          <w:bCs/>
          <w:i/>
          <w:color w:val="000000"/>
          <w:sz w:val="28"/>
          <w:szCs w:val="28"/>
        </w:rPr>
        <w:t>Минимальные мощности тел полезных ископаемых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лимитируют включение в контур запасов сечений с мощностью меньше той, которая может обеспечить возможность эффективного применения определенной системы разработки. Величина минимальной мощности зависит от морфологии и условий залегания рудных тел, изменчивости мощности по простиранию и падению, дискретности оруденения, а также факторов, обусловливающих повышенное разубоживание. При мощности сечения меньше минимального метропроцента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(метрограмма). Его величина должна быть не меньше произведения минимального промышленного содержания полезного компонента и минимальной мощности тел полезных ископаемых.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 w:rsidRPr="0026600E">
        <w:rPr>
          <w:bCs/>
          <w:i/>
          <w:color w:val="000000"/>
          <w:sz w:val="28"/>
          <w:szCs w:val="28"/>
        </w:rPr>
        <w:t>Максимально допустимая мощность прослоев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пустых пород или некондиционных руд, включаемых в контур подсчета балансовых запасов, зависит от способа и технологии разработки. Для открытых работ ее </w:t>
      </w:r>
      <w:r>
        <w:rPr>
          <w:color w:val="000000"/>
          <w:sz w:val="28"/>
          <w:szCs w:val="28"/>
        </w:rPr>
        <w:lastRenderedPageBreak/>
        <w:t xml:space="preserve">величина устанавливается значительно выше, чем для подземных. При этом исходят из того, что при мощности большей, чем максимально допустимая, эти породы или некондиционные руды могут быть оставлены в целиках или селективно отработаны.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Иногда в кондициях предусматривают максимально допустимые по простиранию рудного тела безрудные интервалы или участки некондиционных руд, находящиеся внутри контура полезного ископаемого.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Другие специфические (частные) кондиционные параметры включают технологические требования к качеству руд и условиям их отработки. Из числа частных параметров кондиций устанавливаются только те, которые необходимы для геолого-экономической оценки конкретного месторождения, исходя из горно-геологических условий его разработки и состава полезного ископаемого.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Коэффициенты для приведения содержаний полезных попутных компонентов к содержаниям условного основного компонента определяются с учетом минимального содержания компонентов, величины их извлечения в товарную продукцию и оптовой рыночной цены.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 w:rsidRPr="0026600E">
        <w:rPr>
          <w:bCs/>
          <w:i/>
          <w:color w:val="000000"/>
          <w:sz w:val="28"/>
          <w:szCs w:val="28"/>
        </w:rPr>
        <w:t>Максимально допустимое содержание вредных примесей</w:t>
      </w:r>
      <w:r>
        <w:rPr>
          <w:b/>
          <w:b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отрицательно влияющих на технологию переработки минерального сырья и способных перейти в концентрат или конечную продукцию, может устанавливаться для подсчета блока, либо по пересечению рудного тела, интервалу или в пробе.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 w:rsidRPr="0026600E">
        <w:rPr>
          <w:bCs/>
          <w:i/>
          <w:color w:val="000000"/>
          <w:sz w:val="28"/>
          <w:szCs w:val="28"/>
        </w:rPr>
        <w:t>Минимальный коэффициент рудоносности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подсчетном блоке вводится для месторождений с прерывистым или гнездовым распределением полезного компонента, когда невозможно оконтурить рудные тела, а подсчет запасов производится в контурах рудоносной зоны и статически. При этом должна быть обоснована целесообразность селективного способа разработки рудных обособлений.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 w:rsidRPr="0026600E">
        <w:rPr>
          <w:bCs/>
          <w:i/>
          <w:color w:val="000000"/>
          <w:sz w:val="28"/>
          <w:szCs w:val="28"/>
        </w:rPr>
        <w:t>Минимальные запасы в изолированных (обособленных) телах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полезные ископаемые обычно рассматривают на стадиях, следующих после деталь</w:t>
      </w:r>
      <w:r w:rsidRPr="0026600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ной разведки, исходя из окупаемости прямых затрат на добычу и переработку руд при нулевой рентабельности.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 w:rsidRPr="0026600E">
        <w:rPr>
          <w:bCs/>
          <w:i/>
          <w:color w:val="000000"/>
          <w:sz w:val="28"/>
          <w:szCs w:val="28"/>
        </w:rPr>
        <w:t>Максимальная глубина подсчета запасов</w:t>
      </w:r>
      <w:r>
        <w:rPr>
          <w:color w:val="000000"/>
          <w:sz w:val="28"/>
          <w:szCs w:val="28"/>
        </w:rPr>
        <w:t xml:space="preserve">, предельный коэффициент вскрыши предусматриваются для месторождений, подлежащих разработке от-крытым способом. Подсчет запасов проводится в установленных ТЭО контурах разработки; намечаются границы участков первоочередной отработки.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 w:rsidRPr="0026600E">
        <w:rPr>
          <w:bCs/>
          <w:i/>
          <w:color w:val="000000"/>
          <w:sz w:val="28"/>
          <w:szCs w:val="28"/>
        </w:rPr>
        <w:t>Кондиции для подсчета балансовых запасов углей (горючих сланцев)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отличаются от рассмотренных кондиций на металлические и неметаллические полезные ископаемые перечнем основных кондиционных параметров и их значимостью. Основными показателями кондиций являются максимальная зольность угля А</w:t>
      </w:r>
      <w:r>
        <w:rPr>
          <w:color w:val="000000"/>
          <w:position w:val="10"/>
          <w:sz w:val="28"/>
          <w:szCs w:val="28"/>
          <w:vertAlign w:val="superscript"/>
        </w:rPr>
        <w:t xml:space="preserve">d </w:t>
      </w:r>
      <w:r>
        <w:rPr>
          <w:color w:val="000000"/>
          <w:sz w:val="28"/>
          <w:szCs w:val="28"/>
        </w:rPr>
        <w:t>(для сланцев-минимальная теплота сгорания в пересчете на сухое топливо Q</w:t>
      </w:r>
      <w:r>
        <w:rPr>
          <w:color w:val="000000"/>
          <w:position w:val="10"/>
          <w:sz w:val="28"/>
          <w:szCs w:val="28"/>
          <w:vertAlign w:val="superscript"/>
        </w:rPr>
        <w:t xml:space="preserve">d </w:t>
      </w:r>
      <w:r>
        <w:rPr>
          <w:color w:val="000000"/>
          <w:position w:val="-10"/>
          <w:sz w:val="28"/>
          <w:szCs w:val="28"/>
          <w:vertAlign w:val="subscript"/>
        </w:rPr>
        <w:t>s</w:t>
      </w:r>
      <w:r>
        <w:rPr>
          <w:color w:val="000000"/>
          <w:sz w:val="28"/>
          <w:szCs w:val="28"/>
        </w:rPr>
        <w:t xml:space="preserve">), минимальная истинная мощность пластов угля (сланцев), максимальная или минимальная мощность природных </w:t>
      </w:r>
      <w:r>
        <w:rPr>
          <w:color w:val="000000"/>
          <w:sz w:val="28"/>
          <w:szCs w:val="28"/>
        </w:rPr>
        <w:lastRenderedPageBreak/>
        <w:t xml:space="preserve">прослоев, включаемых в пласт сложного строения соответственно при валовой или селективной его выемке. Кроме того, предусматриваются специальные требования к качеству углей и сланцев, такие как спекаемость, выход смол, содержание серы и фосфора. Другие частные параметры кондиций могут быть общими с кондициями для рудных месторождений. Они обосновываются геологическими, горнотехническими и экономическими факторами. </w:t>
      </w:r>
    </w:p>
    <w:p w:rsidR="00F07393" w:rsidRDefault="00F07393" w:rsidP="00F07393">
      <w:pPr>
        <w:pStyle w:val="Iauiue"/>
        <w:suppressAutoHyphens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Для подсчета забалансовых запасов устанавливается перечень параметров кондиций, аналогичных перечню, используемому для балансовых запасов, исключая минимальное промышленное содержание полезного компонента. </w:t>
      </w:r>
    </w:p>
    <w:p w:rsidR="00F07393" w:rsidRDefault="00F07393" w:rsidP="00F07393">
      <w:pPr>
        <w:pStyle w:val="Default"/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Согласно ГКЗ, эксплуатационные кондиции могут обосновывать новые по сравнению с разведочными кондициями величины минимального промышленного и бортового содержаний, а также другие параметры с целью получения минимально-необходимого уровня прибыли.</w:t>
      </w:r>
    </w:p>
    <w:p w:rsidR="00F07393" w:rsidRPr="00A81DA7" w:rsidRDefault="00F07393" w:rsidP="00F07393">
      <w:pPr>
        <w:pStyle w:val="Default"/>
        <w:suppressAutoHyphens/>
        <w:ind w:firstLine="720"/>
        <w:jc w:val="both"/>
      </w:pPr>
    </w:p>
    <w:p w:rsidR="00000000" w:rsidRDefault="00F07393"/>
    <w:sectPr w:rsidR="00000000" w:rsidSect="0098086A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compat>
    <w:useFELayout/>
  </w:compat>
  <w:rsids>
    <w:rsidRoot w:val="00F07393"/>
    <w:rsid w:val="00F07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0739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Iauiue">
    <w:name w:val="Iau?iue"/>
    <w:basedOn w:val="Default"/>
    <w:next w:val="Default"/>
    <w:rsid w:val="00F07393"/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1683</Words>
  <Characters>9597</Characters>
  <Application>Microsoft Office Word</Application>
  <DocSecurity>0</DocSecurity>
  <Lines>79</Lines>
  <Paragraphs>22</Paragraphs>
  <ScaleCrop>false</ScaleCrop>
  <Company>Reanimator Extreme Edition</Company>
  <LinksUpToDate>false</LinksUpToDate>
  <CharactersWithSpaces>11258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2014-09-12T08:38:00Z</dcterms:created>
  <dcterms:modified xsi:type="dcterms:W3CDTF">2014-09-12T08:38:00Z</dcterms:modified>
</cp:coreProperties>
</file>